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03" w:leftChars="-256" w:right="-586" w:rightChars="-244" w:hanging="411" w:hangingChars="128"/>
        <w:jc w:val="center"/>
        <w:rPr>
          <w:rFonts w:ascii="方正仿宋简体" w:eastAsia="方正仿宋简体"/>
          <w:b/>
          <w:bCs/>
          <w:color w:val="000000"/>
          <w:sz w:val="32"/>
          <w:szCs w:val="32"/>
        </w:rPr>
      </w:pPr>
      <w:bookmarkStart w:id="0" w:name="OLE_LINK1"/>
      <w:bookmarkStart w:id="1" w:name="OLE_LINK2"/>
      <w:bookmarkStart w:id="2" w:name="OLE_LINK7"/>
      <w:bookmarkStart w:id="3" w:name="OLE_LINK8"/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表一：教师岗位年度基本工作量定额表</w:t>
      </w:r>
    </w:p>
    <w:tbl>
      <w:tblPr>
        <w:tblStyle w:val="6"/>
        <w:tblpPr w:leftFromText="180" w:rightFromText="180" w:vertAnchor="text" w:horzAnchor="page" w:tblpX="1508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教学岗位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基本教学工作量M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（标准课时/年）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专技二、三、四级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ascii="方正仿宋简体" w:hAnsi="宋体" w:eastAsia="方正仿宋简体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专技五级</w:t>
            </w:r>
          </w:p>
        </w:tc>
        <w:tc>
          <w:tcPr>
            <w:tcW w:w="47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ascii="方正仿宋简体" w:hAnsi="宋体" w:eastAsia="方正仿宋简体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专技六级</w:t>
            </w:r>
          </w:p>
        </w:tc>
        <w:tc>
          <w:tcPr>
            <w:tcW w:w="47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专技七级</w:t>
            </w:r>
          </w:p>
        </w:tc>
        <w:tc>
          <w:tcPr>
            <w:tcW w:w="47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专技八级</w:t>
            </w:r>
          </w:p>
        </w:tc>
        <w:tc>
          <w:tcPr>
            <w:tcW w:w="47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ascii="方正仿宋简体" w:hAnsi="宋体" w:eastAsia="方正仿宋简体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专技九级</w:t>
            </w:r>
          </w:p>
        </w:tc>
        <w:tc>
          <w:tcPr>
            <w:tcW w:w="47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专技十级</w:t>
            </w:r>
          </w:p>
        </w:tc>
        <w:tc>
          <w:tcPr>
            <w:tcW w:w="473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3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专技十一级及以下</w:t>
            </w:r>
          </w:p>
        </w:tc>
        <w:tc>
          <w:tcPr>
            <w:tcW w:w="4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28"/>
                <w:szCs w:val="28"/>
              </w:rPr>
            </w:pPr>
            <w:r>
              <w:rPr>
                <w:rFonts w:ascii="方正仿宋简体" w:hAnsi="宋体" w:eastAsia="方正仿宋简体"/>
                <w:sz w:val="28"/>
                <w:szCs w:val="28"/>
              </w:rPr>
              <w:t>360</w:t>
            </w:r>
          </w:p>
        </w:tc>
      </w:tr>
    </w:tbl>
    <w:p>
      <w:pPr>
        <w:spacing w:before="100" w:line="400" w:lineRule="exact"/>
        <w:jc w:val="center"/>
        <w:rPr>
          <w:rFonts w:ascii="方正仿宋简体" w:eastAsia="方正仿宋简体" w:cs="仿宋_GB2312"/>
          <w:color w:val="FF0000"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bCs/>
          <w:color w:val="000000"/>
          <w:sz w:val="32"/>
          <w:szCs w:val="32"/>
        </w:rPr>
        <w:t>表二：实验教辅人员年度基本工作量定额表</w:t>
      </w:r>
    </w:p>
    <w:tbl>
      <w:tblPr>
        <w:tblStyle w:val="6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2612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实验教学岗位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基本教学工作量（标准课时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>/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年）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实验室管理基本工作量（标准课时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>/</w:t>
            </w: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专技五级</w:t>
            </w:r>
          </w:p>
        </w:tc>
        <w:tc>
          <w:tcPr>
            <w:tcW w:w="26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>280</w:t>
            </w:r>
          </w:p>
        </w:tc>
        <w:tc>
          <w:tcPr>
            <w:tcW w:w="32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专技六级</w:t>
            </w:r>
          </w:p>
        </w:tc>
        <w:tc>
          <w:tcPr>
            <w:tcW w:w="2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专技七级</w:t>
            </w:r>
          </w:p>
        </w:tc>
        <w:tc>
          <w:tcPr>
            <w:tcW w:w="2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专技八级</w:t>
            </w:r>
          </w:p>
        </w:tc>
        <w:tc>
          <w:tcPr>
            <w:tcW w:w="26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>280</w:t>
            </w: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专技九级</w:t>
            </w:r>
          </w:p>
        </w:tc>
        <w:tc>
          <w:tcPr>
            <w:tcW w:w="2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专技十级</w:t>
            </w:r>
          </w:p>
        </w:tc>
        <w:tc>
          <w:tcPr>
            <w:tcW w:w="26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31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专技十一级及以下</w:t>
            </w:r>
            <w:r>
              <w:rPr>
                <w:rFonts w:ascii="方正仿宋简体" w:hAnsi="宋体" w:eastAsia="方正仿宋简体"/>
                <w:sz w:val="32"/>
                <w:szCs w:val="32"/>
              </w:rPr>
              <w:t>/</w:t>
            </w:r>
          </w:p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bookmarkStart w:id="4" w:name="_GoBack"/>
            <w:bookmarkEnd w:id="4"/>
            <w:r>
              <w:rPr>
                <w:rFonts w:hint="eastAsia" w:ascii="方正仿宋简体" w:hAnsi="宋体" w:eastAsia="方正仿宋简体"/>
                <w:sz w:val="32"/>
                <w:szCs w:val="32"/>
              </w:rPr>
              <w:t>工勤岗位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sz w:val="32"/>
                <w:szCs w:val="32"/>
              </w:rPr>
            </w:pPr>
            <w:r>
              <w:rPr>
                <w:rFonts w:ascii="方正仿宋简体" w:hAnsi="宋体" w:eastAsia="方正仿宋简体"/>
                <w:sz w:val="32"/>
                <w:szCs w:val="32"/>
              </w:rPr>
              <w:t>240</w:t>
            </w:r>
          </w:p>
        </w:tc>
        <w:tc>
          <w:tcPr>
            <w:tcW w:w="3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宋体" w:eastAsia="方正仿宋简体"/>
                <w:color w:val="FF0000"/>
                <w:sz w:val="32"/>
                <w:szCs w:val="32"/>
              </w:rPr>
            </w:pPr>
          </w:p>
        </w:tc>
      </w:tr>
      <w:bookmarkEnd w:id="0"/>
      <w:bookmarkEnd w:id="1"/>
      <w:bookmarkEnd w:id="2"/>
      <w:bookmarkEnd w:id="3"/>
    </w:tbl>
    <w:p>
      <w:pPr>
        <w:rPr>
          <w:rFonts w:hint="default" w:ascii="仿宋_GB2312" w:hAnsi="仿宋_GB2312" w:eastAsia="仿宋_GB2312"/>
          <w:sz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87" w:header="851" w:footer="992" w:gutter="0"/>
      <w:pgNumType w:fmt="numberInDash"/>
      <w:cols w:space="720" w:num="1"/>
      <w:docGrid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書法家秀宋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粗明體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5290185</wp:posOffset>
              </wp:positionH>
              <wp:positionV relativeFrom="paragraph">
                <wp:posOffset>-85725</wp:posOffset>
              </wp:positionV>
              <wp:extent cx="295910" cy="204470"/>
              <wp:effectExtent l="0" t="0" r="0" b="0"/>
              <wp:wrapNone/>
              <wp:docPr id="1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left:416.55pt;margin-top:-6.75pt;height:16.1pt;width:23.3pt;mso-position-horizontal-relative:margin;mso-wrap-style:none;z-index:251658240;mso-width-relative:page;mso-height-relative:page;" filled="f" stroked="f" coordsize="21600,21600" o:gfxdata="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QN9G31gAAAAoBAAAPAAAAAAAAAAEAIAAAACIAAABkcnMv&#10;ZG93bnJldi54bWxQSwECFAAUAAAACACHTuJAcPiEu8wBAACW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-85725</wp:posOffset>
              </wp:positionV>
              <wp:extent cx="295910" cy="204470"/>
              <wp:effectExtent l="0" t="0" r="0" b="0"/>
              <wp:wrapNone/>
              <wp:docPr id="2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6" o:spid="_x0000_s1026" o:spt="202" type="#_x0000_t202" style="position:absolute;left:0pt;margin-left:-0.45pt;margin-top:-6.75pt;height:16.1pt;width:23.3pt;mso-position-horizontal-relative:margin;mso-wrap-style:none;z-index:251659264;mso-width-relative:page;mso-height-relative:page;" filled="f" stroked="f" coordsize="21600,21600" o:gfxdata="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W6PNvUAAAABwEAAA8AAAAAAAAAAQAgAAAAIgAAAGRycy9k&#10;b3ducmV2LnhtbFBLAQIUABQAAAAIAIdO4kCYHVVbzQEAAJY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20"/>
  <w:drawingGridVerticalSpacing w:val="28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B56"/>
    <w:rsid w:val="000D2A63"/>
    <w:rsid w:val="000E2933"/>
    <w:rsid w:val="001D4215"/>
    <w:rsid w:val="001E51D8"/>
    <w:rsid w:val="002A5643"/>
    <w:rsid w:val="002B7AF7"/>
    <w:rsid w:val="004B7C61"/>
    <w:rsid w:val="00507417"/>
    <w:rsid w:val="00537A35"/>
    <w:rsid w:val="00625D59"/>
    <w:rsid w:val="00731B7C"/>
    <w:rsid w:val="008908CB"/>
    <w:rsid w:val="00892571"/>
    <w:rsid w:val="0093607B"/>
    <w:rsid w:val="00B16F9A"/>
    <w:rsid w:val="00B24AF7"/>
    <w:rsid w:val="00B3224C"/>
    <w:rsid w:val="00BB5DA0"/>
    <w:rsid w:val="00C63995"/>
    <w:rsid w:val="00CA6CE3"/>
    <w:rsid w:val="00DD108C"/>
    <w:rsid w:val="00DD3279"/>
    <w:rsid w:val="00EC16E6"/>
    <w:rsid w:val="00F6481D"/>
    <w:rsid w:val="04836840"/>
    <w:rsid w:val="06C853C8"/>
    <w:rsid w:val="082D3CBE"/>
    <w:rsid w:val="0A8D0F8A"/>
    <w:rsid w:val="0D643188"/>
    <w:rsid w:val="147B1CF2"/>
    <w:rsid w:val="182C224A"/>
    <w:rsid w:val="198E4F17"/>
    <w:rsid w:val="1AD35C1D"/>
    <w:rsid w:val="1E1400A0"/>
    <w:rsid w:val="25863230"/>
    <w:rsid w:val="2A3B39E2"/>
    <w:rsid w:val="31E25960"/>
    <w:rsid w:val="37A91957"/>
    <w:rsid w:val="39782692"/>
    <w:rsid w:val="39B32085"/>
    <w:rsid w:val="3CB37DB7"/>
    <w:rsid w:val="47885715"/>
    <w:rsid w:val="57B473BC"/>
    <w:rsid w:val="593A49C8"/>
    <w:rsid w:val="669B3299"/>
    <w:rsid w:val="69EB6C15"/>
    <w:rsid w:val="7000761D"/>
    <w:rsid w:val="71D91507"/>
    <w:rsid w:val="7EF34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</w:rPr>
  </w:style>
  <w:style w:type="character" w:customStyle="1" w:styleId="12">
    <w:name w:val="日期 字符"/>
    <w:link w:val="2"/>
    <w:qFormat/>
    <w:uiPriority w:val="99"/>
  </w:style>
  <w:style w:type="character" w:customStyle="1" w:styleId="13">
    <w:name w:val="日期 Char"/>
    <w:basedOn w:val="8"/>
    <w:link w:val="2"/>
    <w:qFormat/>
    <w:uiPriority w:val="0"/>
    <w:rPr>
      <w:kern w:val="2"/>
      <w:sz w:val="24"/>
    </w:rPr>
  </w:style>
  <w:style w:type="character" w:customStyle="1" w:styleId="14">
    <w:name w:val="无间隔 Char"/>
    <w:basedOn w:val="8"/>
    <w:link w:val="9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942</Words>
  <Characters>5373</Characters>
  <Lines>44</Lines>
  <Paragraphs>12</Paragraphs>
  <TotalTime>16</TotalTime>
  <ScaleCrop>false</ScaleCrop>
  <LinksUpToDate>false</LinksUpToDate>
  <CharactersWithSpaces>6303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2018-01-02T04:24:00Z</dcterms:created>
  <dc:creator>Administrator</dc:creator>
  <cp:lastModifiedBy>Administrator</cp:lastModifiedBy>
  <cp:lastPrinted>2019-12-19T07:46:00Z</cp:lastPrinted>
  <dcterms:modified xsi:type="dcterms:W3CDTF">2020-12-14T07:46:49Z</dcterms:modified>
  <dc:title>桂林理工大学高等职业技术学院文件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